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F5" w:rsidRDefault="00BD6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eastAsia="Century Gothic" w:hAnsi="Century Gothic" w:cs="Century Gothic"/>
          <w:sz w:val="30"/>
          <w:szCs w:val="30"/>
        </w:rPr>
      </w:pPr>
    </w:p>
    <w:p w:rsidR="00BD69F5" w:rsidRDefault="00417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Style w:val="Ninguno"/>
          <w:rFonts w:ascii="Century Gothic" w:hAnsi="Century Gothic"/>
          <w:b/>
          <w:bCs/>
          <w:sz w:val="34"/>
          <w:szCs w:val="34"/>
        </w:rPr>
        <w:t>El Consorcio Sector II ampl</w:t>
      </w:r>
      <w:r>
        <w:rPr>
          <w:rStyle w:val="Ninguno"/>
          <w:rFonts w:ascii="Century Gothic" w:hAnsi="Century Gothic"/>
          <w:b/>
          <w:bCs/>
          <w:sz w:val="34"/>
          <w:szCs w:val="34"/>
        </w:rPr>
        <w:t>í</w:t>
      </w:r>
      <w:r>
        <w:rPr>
          <w:rStyle w:val="Ninguno"/>
          <w:rFonts w:ascii="Century Gothic" w:hAnsi="Century Gothic"/>
          <w:b/>
          <w:bCs/>
          <w:sz w:val="34"/>
          <w:szCs w:val="34"/>
        </w:rPr>
        <w:t>a el plazo para solicitar la subvenci</w:t>
      </w:r>
      <w:r>
        <w:rPr>
          <w:rStyle w:val="Ninguno"/>
          <w:rFonts w:ascii="Century Gothic" w:hAnsi="Century Gothic"/>
          <w:b/>
          <w:bCs/>
          <w:sz w:val="34"/>
          <w:szCs w:val="34"/>
        </w:rPr>
        <w:t>ó</w:t>
      </w:r>
      <w:r>
        <w:rPr>
          <w:rStyle w:val="Ninguno"/>
          <w:rFonts w:ascii="Century Gothic" w:hAnsi="Century Gothic"/>
          <w:b/>
          <w:bCs/>
          <w:sz w:val="34"/>
          <w:szCs w:val="34"/>
        </w:rPr>
        <w:t>n con motivo de la pandemia hasta el 31 de enero</w:t>
      </w:r>
    </w:p>
    <w:p w:rsidR="00BD69F5" w:rsidRDefault="00BD6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eastAsia="Century Gothic" w:hAnsi="Century Gothic" w:cs="Century Gothic"/>
          <w:i/>
          <w:iCs/>
          <w:sz w:val="22"/>
          <w:szCs w:val="22"/>
        </w:rPr>
      </w:pPr>
    </w:p>
    <w:p w:rsidR="00BD69F5" w:rsidRDefault="00BD6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</w:pPr>
    </w:p>
    <w:p w:rsidR="00BD69F5" w:rsidRDefault="004177A6">
      <w:pPr>
        <w:jc w:val="center"/>
        <w:rPr>
          <w:rFonts w:ascii="Century Gothic" w:eastAsia="Century Gothic" w:hAnsi="Century Gothic" w:cs="Century Gothic"/>
          <w:i/>
          <w:iCs/>
          <w:sz w:val="26"/>
          <w:szCs w:val="26"/>
        </w:rPr>
      </w:pPr>
      <w:r>
        <w:rPr>
          <w:rFonts w:ascii="Century Gothic" w:hAnsi="Century Gothic"/>
          <w:i/>
          <w:iCs/>
          <w:sz w:val="26"/>
          <w:szCs w:val="26"/>
        </w:rPr>
        <w:t>-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</w:rPr>
        <w:t xml:space="preserve">  El Consorcio para la Gesti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</w:rPr>
        <w:t>ó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</w:rPr>
        <w:t xml:space="preserve">n de residuos Sector II que gestiona la basura de 49 municipios 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</w:rPr>
        <w:t>ha aprobado esta medida en la Junta General de esta ma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</w:rPr>
        <w:t>ñ</w:t>
      </w:r>
      <w:r>
        <w:rPr>
          <w:rStyle w:val="Ninguno"/>
          <w:rFonts w:ascii="Century Gothic" w:hAnsi="Century Gothic"/>
          <w:b/>
          <w:bCs/>
          <w:i/>
          <w:iCs/>
          <w:sz w:val="26"/>
          <w:szCs w:val="26"/>
        </w:rPr>
        <w:t>ana</w:t>
      </w:r>
    </w:p>
    <w:p w:rsidR="00BD69F5" w:rsidRDefault="00BD6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entury Gothic" w:eastAsia="Century Gothic" w:hAnsi="Century Gothic" w:cs="Century Gothic"/>
          <w:b/>
          <w:bCs/>
          <w:i/>
          <w:iCs/>
          <w:sz w:val="26"/>
          <w:szCs w:val="26"/>
        </w:rPr>
      </w:pPr>
    </w:p>
    <w:p w:rsidR="00BD69F5" w:rsidRDefault="00BD69F5">
      <w:pPr>
        <w:pStyle w:val="Poromisin"/>
        <w:spacing w:line="288" w:lineRule="auto"/>
        <w:jc w:val="left"/>
        <w:rPr>
          <w:rFonts w:ascii="Century Gothic" w:eastAsia="Century Gothic" w:hAnsi="Century Gothic" w:cs="Century Gothic"/>
          <w:color w:val="222222"/>
          <w:sz w:val="26"/>
          <w:szCs w:val="26"/>
        </w:rPr>
      </w:pP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  <w:proofErr w:type="spellStart"/>
      <w:r>
        <w:rPr>
          <w:rStyle w:val="Ninguno"/>
          <w:rFonts w:ascii="Century Gothic" w:hAnsi="Century Gothic"/>
          <w:b w:val="0"/>
          <w:bCs w:val="0"/>
          <w:color w:val="222222"/>
          <w:u w:val="single"/>
          <w:lang w:val="es-ES_tradnl"/>
        </w:rPr>
        <w:t>Benahadux</w:t>
      </w:r>
      <w:proofErr w:type="spellEnd"/>
      <w:r>
        <w:rPr>
          <w:rStyle w:val="Ninguno"/>
          <w:rFonts w:ascii="Century Gothic" w:hAnsi="Century Gothic"/>
          <w:b w:val="0"/>
          <w:bCs w:val="0"/>
          <w:color w:val="222222"/>
          <w:u w:val="single"/>
          <w:lang w:val="es-ES_tradnl"/>
        </w:rPr>
        <w:t>, 23 de noviembre de 2020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. Esta ma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ñ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ana, el Consorcio de Residuos Sector II de la provincia de Almer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í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a ha celebrado Junta General de forma telem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á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tica. </w:t>
      </w: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El punto estrella de esta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convocatoria ha sido la ratificaci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 de la Resoluci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n de Presidencia </w:t>
      </w:r>
      <w:r w:rsidR="00784A9A"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p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or la que se ampl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í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a el plazo de presentaci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 de solicitudes para ser beneficiarios de la subvenci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 que la entidad puso en marcha el pasado mes de junio con motivo de la pandemia. El nue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vo plazo para solicitar esta ayuda es hasta el pr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ximo 31 de enero de 2020.</w:t>
      </w: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La ayuda, destinada a los negocios que se vieron obligado</w:t>
      </w:r>
      <w:r w:rsidR="00784A9A"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s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 a cerrar durante el estado de alarma, se consigui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ó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aprobar gracias a </w:t>
      </w:r>
      <w:proofErr w:type="gramStart"/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la  modificaci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</w:t>
      </w:r>
      <w:proofErr w:type="gramEnd"/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 del presupuesto 2020 para incluir esta </w:t>
      </w:r>
      <w:r>
        <w:rPr>
          <w:rStyle w:val="Ninguno"/>
          <w:rFonts w:ascii="Century Gothic" w:hAnsi="Century Gothic"/>
          <w:i w:val="0"/>
          <w:iCs w:val="0"/>
          <w:color w:val="222222"/>
          <w:lang w:val="es-ES_tradnl"/>
        </w:rPr>
        <w:t xml:space="preserve">partida de subvenciones.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La propuesta fue aprobada por unanimidad de todos los municipios en la Junta General celebrada el pasado mes de junio.</w:t>
      </w:r>
    </w:p>
    <w:p w:rsidR="00BD69F5" w:rsidRDefault="00BD69F5">
      <w:pPr>
        <w:pStyle w:val="Poromisin"/>
        <w:spacing w:line="288" w:lineRule="auto"/>
        <w:jc w:val="left"/>
        <w:rPr>
          <w:rStyle w:val="Ninguno"/>
          <w:rFonts w:ascii="Century Gothic" w:eastAsia="Century Gothic" w:hAnsi="Century Gothic" w:cs="Century Gothic"/>
          <w:color w:val="222222"/>
          <w:shd w:val="clear" w:color="auto" w:fill="FFFFFF"/>
        </w:rPr>
      </w:pP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  <w:shd w:val="clear" w:color="auto" w:fill="FFFFFF"/>
        </w:rPr>
      </w:pPr>
      <w:r>
        <w:rPr>
          <w:rStyle w:val="Ninguno"/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Hay que recordar que l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pt-PT"/>
        </w:rPr>
        <w:t>a subvenci</w:t>
      </w:r>
      <w:proofErr w:type="spellStart"/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ó</w:t>
      </w:r>
      <w:proofErr w:type="spellEnd"/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</w:rPr>
        <w:t xml:space="preserve">n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 xml:space="preserve">es bajo solicitud del interesado y el plazo de </w:t>
      </w:r>
      <w:r w:rsidR="00784A9A"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presentación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</w:rPr>
        <w:t xml:space="preserve">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est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 xml:space="preserve">á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prorrogado hasta el pr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  <w:lang w:val="es-ES_tradnl"/>
        </w:rPr>
        <w:t>ximo 31 de enero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shd w:val="clear" w:color="auto" w:fill="FFFFFF"/>
        </w:rPr>
        <w:t xml:space="preserve">. </w:t>
      </w:r>
    </w:p>
    <w:p w:rsidR="00BD69F5" w:rsidRDefault="00BD69F5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Otro de los temas tratado durante la Junta ha sido la modificaci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 del presupuesto con la finalidad de poder financiar las obras de ampliaci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n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del Vaso n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ú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mero 5 en la planta de G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á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dor.</w:t>
      </w:r>
      <w:bookmarkStart w:id="0" w:name="_GoBack"/>
      <w:bookmarkEnd w:id="0"/>
    </w:p>
    <w:p w:rsidR="00BD69F5" w:rsidRDefault="00BD69F5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El gerente del CRSII ha declarado esta misma ma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ñ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ana que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‘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todos los acuerdos adoptados en el seno de la Junta General van encaminados a dar un mejor servicio a todos los vecinos </w:t>
      </w:r>
      <w:r>
        <w:rPr>
          <w:rStyle w:val="Ninguno"/>
          <w:rFonts w:ascii="Century Gothic" w:hAnsi="Century Gothic"/>
          <w:b w:val="0"/>
          <w:bCs w:val="0"/>
          <w:color w:val="222222"/>
          <w:lang w:val="es-ES_tradnl"/>
        </w:rPr>
        <w:t>consorciados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. Con la ampliaci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 del p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lazo para presentar solicitudes vamos a intentar que todos los posibles beneficiarios tengan la posibilidad de acceder a las ayudas puestas en marcha, que nadie se quede fuera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’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.</w:t>
      </w:r>
    </w:p>
    <w:p w:rsidR="00BD69F5" w:rsidRDefault="00BD69F5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</w:p>
    <w:p w:rsidR="00BD69F5" w:rsidRDefault="004177A6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Por su parte, el </w:t>
      </w:r>
      <w:proofErr w:type="gramStart"/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Presidente</w:t>
      </w:r>
      <w:proofErr w:type="gramEnd"/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 del Consorcio ha recordado que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‘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ayudar a los veci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nos es uno de los objetivos prioritarios durante mi presidencia en este Consorcio. Es nuestra obligaci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ó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n moral y social establecer las condiciones que hagan posible que los vecinos se sientan escuchados y respaldados, m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á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xime en las circunstancias actuales.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 xml:space="preserve"> Desde nuestro 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á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mbito, no vamos a dudar es hacer todo lo posible para lograrlo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’</w:t>
      </w:r>
      <w:r>
        <w:rPr>
          <w:rFonts w:ascii="Century Gothic" w:hAnsi="Century Gothic"/>
          <w:b w:val="0"/>
          <w:bCs w:val="0"/>
          <w:i w:val="0"/>
          <w:iCs w:val="0"/>
          <w:color w:val="222222"/>
          <w:lang w:val="es-ES_tradnl"/>
        </w:rPr>
        <w:t>.</w:t>
      </w:r>
    </w:p>
    <w:p w:rsidR="00BD69F5" w:rsidRDefault="00BD69F5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</w:p>
    <w:p w:rsidR="00BD69F5" w:rsidRDefault="00BD69F5">
      <w:pPr>
        <w:pStyle w:val="Poromisin"/>
        <w:spacing w:line="288" w:lineRule="auto"/>
        <w:jc w:val="both"/>
        <w:rPr>
          <w:rFonts w:ascii="Century Gothic" w:eastAsia="Century Gothic" w:hAnsi="Century Gothic" w:cs="Century Gothic"/>
          <w:b w:val="0"/>
          <w:bCs w:val="0"/>
          <w:i w:val="0"/>
          <w:iCs w:val="0"/>
          <w:color w:val="222222"/>
        </w:rPr>
      </w:pPr>
    </w:p>
    <w:p w:rsidR="00BD69F5" w:rsidRDefault="00BD69F5">
      <w:pPr>
        <w:pStyle w:val="Poromisin"/>
        <w:spacing w:line="288" w:lineRule="auto"/>
        <w:jc w:val="left"/>
      </w:pPr>
    </w:p>
    <w:sectPr w:rsidR="00BD69F5">
      <w:headerReference w:type="default" r:id="rId6"/>
      <w:footerReference w:type="default" r:id="rId7"/>
      <w:pgSz w:w="11900" w:h="16840"/>
      <w:pgMar w:top="1418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A6" w:rsidRDefault="004177A6">
      <w:r>
        <w:separator/>
      </w:r>
    </w:p>
  </w:endnote>
  <w:endnote w:type="continuationSeparator" w:id="0">
    <w:p w:rsidR="004177A6" w:rsidRDefault="0041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9F5" w:rsidRDefault="004177A6">
    <w:pPr>
      <w:pBdr>
        <w:top w:val="single" w:sz="4" w:space="0" w:color="808080"/>
      </w:pBdr>
      <w:tabs>
        <w:tab w:val="left" w:pos="284"/>
        <w:tab w:val="right" w:pos="8080"/>
      </w:tabs>
      <w:rPr>
        <w:rStyle w:val="Ninguno"/>
        <w:rFonts w:ascii="Arial" w:eastAsia="Arial" w:hAnsi="Arial" w:cs="Arial"/>
        <w:sz w:val="16"/>
        <w:szCs w:val="16"/>
      </w:rPr>
    </w:pPr>
    <w:r>
      <w:rPr>
        <w:rStyle w:val="Ninguno"/>
        <w:rFonts w:ascii="Arial" w:eastAsia="Arial" w:hAnsi="Arial" w:cs="Arial"/>
        <w:sz w:val="16"/>
        <w:szCs w:val="16"/>
      </w:rPr>
      <w:tab/>
    </w:r>
  </w:p>
  <w:p w:rsidR="00BD69F5" w:rsidRDefault="004177A6">
    <w:pPr>
      <w:tabs>
        <w:tab w:val="left" w:pos="284"/>
        <w:tab w:val="right" w:pos="8222"/>
      </w:tabs>
      <w:rPr>
        <w:rStyle w:val="Ninguno"/>
        <w:rFonts w:ascii="Arial" w:eastAsia="Arial" w:hAnsi="Arial" w:cs="Arial"/>
        <w:sz w:val="16"/>
        <w:szCs w:val="16"/>
      </w:rPr>
    </w:pPr>
    <w:r>
      <w:rPr>
        <w:rStyle w:val="Ninguno"/>
        <w:rFonts w:ascii="Arial" w:hAnsi="Arial"/>
        <w:sz w:val="16"/>
        <w:szCs w:val="16"/>
      </w:rPr>
      <w:t xml:space="preserve">      C/ Tulip</w:t>
    </w:r>
    <w:r>
      <w:rPr>
        <w:rStyle w:val="Ninguno"/>
        <w:rFonts w:ascii="Arial" w:hAnsi="Arial"/>
        <w:sz w:val="16"/>
        <w:szCs w:val="16"/>
      </w:rPr>
      <w:t>á</w:t>
    </w:r>
    <w:r>
      <w:rPr>
        <w:rStyle w:val="Ninguno"/>
        <w:rFonts w:ascii="Arial" w:hAnsi="Arial"/>
        <w:sz w:val="16"/>
        <w:szCs w:val="16"/>
      </w:rPr>
      <w:t>n, 1-1</w:t>
    </w:r>
    <w:r>
      <w:rPr>
        <w:rStyle w:val="Ninguno"/>
        <w:rFonts w:ascii="Arial" w:hAnsi="Arial"/>
        <w:sz w:val="16"/>
        <w:szCs w:val="16"/>
      </w:rPr>
      <w:t xml:space="preserve">º </w:t>
    </w:r>
    <w:r>
      <w:rPr>
        <w:rStyle w:val="Ninguno"/>
        <w:rFonts w:ascii="Arial" w:hAnsi="Arial"/>
        <w:sz w:val="16"/>
        <w:szCs w:val="16"/>
      </w:rPr>
      <w:t>Oficina 8</w:t>
    </w:r>
    <w:r>
      <w:rPr>
        <w:rStyle w:val="Ninguno"/>
        <w:rFonts w:ascii="Arial" w:hAnsi="Arial"/>
        <w:sz w:val="16"/>
        <w:szCs w:val="16"/>
      </w:rPr>
      <w:t>ª</w:t>
    </w:r>
    <w:r>
      <w:rPr>
        <w:rStyle w:val="Ninguno"/>
        <w:rFonts w:ascii="Arial" w:hAnsi="Arial"/>
        <w:sz w:val="16"/>
        <w:szCs w:val="16"/>
      </w:rPr>
      <w:tab/>
    </w:r>
    <w:r>
      <w:rPr>
        <w:rStyle w:val="Ninguno"/>
        <w:rFonts w:ascii="Arial" w:hAnsi="Arial"/>
        <w:sz w:val="16"/>
        <w:szCs w:val="16"/>
      </w:rPr>
      <w:t>04410-Benahadux (Almer</w:t>
    </w:r>
    <w:r>
      <w:rPr>
        <w:rStyle w:val="Ninguno"/>
        <w:rFonts w:ascii="Arial" w:hAnsi="Arial"/>
        <w:sz w:val="16"/>
        <w:szCs w:val="16"/>
      </w:rPr>
      <w:t>í</w:t>
    </w:r>
    <w:r>
      <w:rPr>
        <w:rStyle w:val="Ninguno"/>
        <w:rFonts w:ascii="Arial" w:hAnsi="Arial"/>
        <w:sz w:val="16"/>
        <w:szCs w:val="16"/>
      </w:rPr>
      <w:t>a)</w:t>
    </w:r>
  </w:p>
  <w:p w:rsidR="00BD69F5" w:rsidRDefault="004177A6">
    <w:pPr>
      <w:tabs>
        <w:tab w:val="left" w:pos="284"/>
        <w:tab w:val="right" w:pos="8222"/>
      </w:tabs>
      <w:rPr>
        <w:rStyle w:val="Ninguno"/>
        <w:rFonts w:ascii="Arial" w:eastAsia="Arial" w:hAnsi="Arial" w:cs="Arial"/>
        <w:sz w:val="16"/>
        <w:szCs w:val="16"/>
      </w:rPr>
    </w:pPr>
    <w:r>
      <w:rPr>
        <w:rStyle w:val="Ninguno"/>
        <w:rFonts w:ascii="Arial" w:hAnsi="Arial"/>
        <w:sz w:val="16"/>
        <w:szCs w:val="16"/>
      </w:rPr>
      <w:t xml:space="preserve">      Tel</w:t>
    </w:r>
    <w:r>
      <w:rPr>
        <w:rStyle w:val="Ninguno"/>
        <w:rFonts w:ascii="Arial" w:hAnsi="Arial"/>
        <w:sz w:val="16"/>
        <w:szCs w:val="16"/>
      </w:rPr>
      <w:t>é</w:t>
    </w:r>
    <w:r>
      <w:rPr>
        <w:rStyle w:val="Ninguno"/>
        <w:rFonts w:ascii="Arial" w:hAnsi="Arial"/>
        <w:sz w:val="16"/>
        <w:szCs w:val="16"/>
      </w:rPr>
      <w:t>fono: 950312202</w:t>
    </w:r>
    <w:r>
      <w:rPr>
        <w:rStyle w:val="Ninguno"/>
        <w:rFonts w:ascii="Arial" w:hAnsi="Arial"/>
        <w:sz w:val="16"/>
        <w:szCs w:val="16"/>
      </w:rPr>
      <w:tab/>
      <w:t>Fax: 950951035</w:t>
    </w:r>
  </w:p>
  <w:p w:rsidR="00BD69F5" w:rsidRDefault="004177A6">
    <w:pPr>
      <w:tabs>
        <w:tab w:val="left" w:pos="284"/>
        <w:tab w:val="right" w:pos="8222"/>
      </w:tabs>
    </w:pPr>
    <w:r>
      <w:rPr>
        <w:rStyle w:val="Ninguno"/>
        <w:rFonts w:ascii="Arial" w:hAnsi="Arial"/>
        <w:sz w:val="16"/>
        <w:szCs w:val="16"/>
      </w:rPr>
      <w:t xml:space="preserve">      </w:t>
    </w:r>
    <w:hyperlink r:id="rId1" w:history="1">
      <w:r>
        <w:rPr>
          <w:rStyle w:val="Hyperlink0"/>
        </w:rPr>
        <w:t>www.consorcio2.almeria.es</w:t>
      </w:r>
    </w:hyperlink>
    <w:r>
      <w:rPr>
        <w:rStyle w:val="Ninguno"/>
        <w:rFonts w:ascii="Arial" w:eastAsia="Arial" w:hAnsi="Arial" w:cs="Arial"/>
        <w:sz w:val="16"/>
        <w:szCs w:val="16"/>
      </w:rPr>
      <w:tab/>
      <w:t>consorciosector2@dipalme.org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A6" w:rsidRDefault="004177A6">
      <w:r>
        <w:separator/>
      </w:r>
    </w:p>
  </w:footnote>
  <w:footnote w:type="continuationSeparator" w:id="0">
    <w:p w:rsidR="004177A6" w:rsidRDefault="0041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9F5" w:rsidRDefault="004177A6"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-350519</wp:posOffset>
              </wp:positionH>
              <wp:positionV relativeFrom="page">
                <wp:posOffset>5184775</wp:posOffset>
              </wp:positionV>
              <wp:extent cx="1168400" cy="32385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6840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D69F5" w:rsidRDefault="004177A6">
                          <w:pPr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color w:val="C0C0C0"/>
                              <w:u w:color="C0C0C0"/>
                            </w:rPr>
                            <w:t>NIF V04408548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27.6pt;margin-top:408.25pt;width:92pt;height:25.5pt;rotation:-90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" filled="f" stroked="f" strokeweight="1pt">
              <v:stroke miterlimit="4"/>
              <v:textbox inset="1.27mm,1.27mm,1.27mm,1.27mm">
                <w:txbxContent>
                  <w:p w:rsidR="00BD69F5" w:rsidRDefault="004177A6">
                    <w:pPr>
                      <w:jc w:val="center"/>
                    </w:pPr>
                    <w:r>
                      <w:rPr>
                        <w:rStyle w:val="Ninguno"/>
                        <w:rFonts w:ascii="Arial" w:hAnsi="Arial"/>
                        <w:color w:val="C0C0C0"/>
                        <w:u w:color="C0C0C0"/>
                      </w:rPr>
                      <w:t>NIF V04408548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szCs w:val="18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1932939</wp:posOffset>
          </wp:positionH>
          <wp:positionV relativeFrom="page">
            <wp:posOffset>81915</wp:posOffset>
          </wp:positionV>
          <wp:extent cx="3695066" cy="5080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066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4601210</wp:posOffset>
          </wp:positionH>
          <wp:positionV relativeFrom="page">
            <wp:posOffset>10163175</wp:posOffset>
          </wp:positionV>
          <wp:extent cx="230505" cy="230505"/>
          <wp:effectExtent l="42185" t="42185" r="42185" b="42185"/>
          <wp:wrapNone/>
          <wp:docPr id="1073741827" name="officeArt object" descr="Ver deta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Ver detalles" descr="Ver detalle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800000">
                    <a:off x="0" y="0"/>
                    <a:ext cx="230505" cy="23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D69F5" w:rsidRDefault="00BD69F5"/>
  <w:p w:rsidR="00BD69F5" w:rsidRDefault="00BD69F5"/>
  <w:p w:rsidR="00BD69F5" w:rsidRDefault="00BD69F5"/>
  <w:p w:rsidR="00BD69F5" w:rsidRDefault="00BD69F5">
    <w:pPr>
      <w:pBdr>
        <w:bottom w:val="single" w:sz="4" w:space="0" w:color="808080"/>
      </w:pBdr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F5"/>
    <w:rsid w:val="004177A6"/>
    <w:rsid w:val="00784A9A"/>
    <w:rsid w:val="00A81420"/>
    <w:rsid w:val="00B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CB2"/>
  <w15:docId w15:val="{DBD21597-4B4E-4D32-8C86-E16C6A8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paragraph" w:customStyle="1" w:styleId="Poromisin">
    <w:name w:val="Por omisión"/>
    <w:pPr>
      <w:jc w:val="center"/>
    </w:pPr>
    <w:rPr>
      <w:rFonts w:ascii="Calibri" w:eastAsia="Calibri" w:hAnsi="Calibri" w:cs="Calibri"/>
      <w:b/>
      <w:bCs/>
      <w:i/>
      <w:i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cio2.alme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Velazquez  Capel</dc:creator>
  <cp:lastModifiedBy>Jorge Velazquez  Capel</cp:lastModifiedBy>
  <cp:revision>3</cp:revision>
  <dcterms:created xsi:type="dcterms:W3CDTF">2020-11-23T12:48:00Z</dcterms:created>
  <dcterms:modified xsi:type="dcterms:W3CDTF">2020-11-23T12:59:00Z</dcterms:modified>
</cp:coreProperties>
</file>